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5731200" cy="177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177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HUMAN RELATIONSHIPS </w:t>
      </w:r>
      <w:r w:rsidDel="00000000" w:rsidR="00000000" w:rsidRPr="00000000">
        <w:rPr>
          <w:rFonts w:ascii="Times New Roman" w:cs="Times New Roman" w:eastAsia="Times New Roman" w:hAnsi="Times New Roman"/>
          <w:color w:val="f5f5f5"/>
          <w:sz w:val="24"/>
          <w:szCs w:val="24"/>
          <w:rtl w:val="0"/>
        </w:rPr>
        <w:t xml:space="preserve"> </w:t>
      </w:r>
    </w:p>
    <w:tbl>
      <w:tblPr>
        <w:tblStyle w:val="Table1"/>
        <w:tblW w:w="9025.511811023624"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512.755905511812"/>
        <w:gridCol w:w="4512.755905511812"/>
        <w:tblGridChange w:id="0">
          <w:tblGrid>
            <w:gridCol w:w="4512.755905511812"/>
            <w:gridCol w:w="4512.755905511812"/>
          </w:tblGrid>
        </w:tblGridChange>
      </w:tblGrid>
      <w:tr>
        <w:trPr>
          <w:cantSplit w:val="0"/>
          <w:trHeight w:val="300" w:hRule="atLeast"/>
          <w:tblHeader w:val="0"/>
        </w:trPr>
        <w:tc>
          <w:tcPr>
            <w:gridSpan w:val="2"/>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Competency </w:t>
            </w:r>
          </w:p>
        </w:tc>
      </w:tr>
      <w:tr>
        <w:trPr>
          <w:cantSplit w:val="0"/>
          <w:trHeight w:val="292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Human Relationships </w:t>
            </w:r>
          </w:p>
        </w:tc>
        <w:tc>
          <w:tcPr>
            <w:tcBorders>
              <w:top w:color="000000" w:space="0" w:sz="6" w:val="single"/>
              <w:left w:color="000000" w:space="0" w:sz="6" w:val="single"/>
              <w:bottom w:color="000000" w:space="0" w:sz="6" w:val="single"/>
              <w:right w:color="000000" w:space="0" w:sz="6" w:val="single"/>
            </w:tcBorders>
            <w:shd w:fill="auto" w:val="clear"/>
            <w:tcMar>
              <w:top w:w="0.0" w:type="dxa"/>
              <w:left w:w="0.0" w:type="dxa"/>
              <w:bottom w:w="0.0" w:type="dxa"/>
              <w:right w:w="0.0" w:type="dxa"/>
            </w:tcMar>
            <w:vAlign w:val="top"/>
          </w:tcPr>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40" w:before="40" w:lineRule="auto"/>
              <w:ind w:left="-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social worker should explore who Maynor’s support persons are, in the United States and Guatemala, in his nuclear and extended family, and in his friend network. Having a healthy support system for which Maynor can seek counsel, advice, or emotional and psychological support might help curb some of the Maynor’s feelings of anxiety and depression, which are negatively affecting his mental health.  </w:t>
            </w:r>
          </w:p>
        </w:tc>
      </w:tr>
    </w:tbl>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000000" w:val="clear"/>
        <w:rPr>
          <w:rFonts w:ascii="Times New Roman" w:cs="Times New Roman" w:eastAsia="Times New Roman" w:hAnsi="Times New Roman"/>
          <w:color w:val="f5f5f5"/>
          <w:sz w:val="24"/>
          <w:szCs w:val="24"/>
        </w:rPr>
      </w:pPr>
      <w:r w:rsidDel="00000000" w:rsidR="00000000" w:rsidRPr="00000000">
        <w:rPr>
          <w:rFonts w:ascii="Times New Roman" w:cs="Times New Roman" w:eastAsia="Times New Roman" w:hAnsi="Times New Roman"/>
          <w:b w:val="1"/>
          <w:color w:val="f5f5f5"/>
          <w:sz w:val="24"/>
          <w:szCs w:val="24"/>
          <w:rtl w:val="0"/>
        </w:rPr>
        <w:t xml:space="preserve">SOCIAL WORK COMPETENCIES – HUMAN RELATIONSHIPS - MICRO PRACTICE ACTIVITY</w:t>
      </w:r>
      <w:r w:rsidDel="00000000" w:rsidR="00000000" w:rsidRPr="00000000">
        <w:rPr>
          <w:rFonts w:ascii="Times New Roman" w:cs="Times New Roman" w:eastAsia="Times New Roman" w:hAnsi="Times New Roman"/>
          <w:color w:val="f5f5f5"/>
          <w:sz w:val="24"/>
          <w:szCs w:val="24"/>
          <w:rtl w:val="0"/>
        </w:rPr>
        <w:t xml:space="preserv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NASW Core Principle: </w:t>
      </w:r>
      <w:r w:rsidDel="00000000" w:rsidR="00000000" w:rsidRPr="00000000">
        <w:rPr>
          <w:rFonts w:ascii="Times New Roman" w:cs="Times New Roman" w:eastAsia="Times New Roman" w:hAnsi="Times New Roman"/>
          <w:b w:val="1"/>
          <w:sz w:val="24"/>
          <w:szCs w:val="24"/>
          <w:rtl w:val="0"/>
        </w:rPr>
        <w:t xml:space="preserve">Importance of Human Relationships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understand that relationships between and among people are an important vehicle for change. Social workers engage people as partners in the helping process. Social workers seek to strengthen relationships among people in a purposeful effort to promote, restore, maintain, and enhance the well-being of individuals, families, social groups, organizations, and communities (NASW).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Foundation Activity: Consider the NASW definition above. As a social work student or intern, identify two social support assessment tools you could use to explore the systems and relationships in Maynor’s life.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IFSW Core Principle: </w:t>
      </w:r>
      <w:r w:rsidDel="00000000" w:rsidR="00000000" w:rsidRPr="00000000">
        <w:rPr>
          <w:rFonts w:ascii="Times New Roman" w:cs="Times New Roman" w:eastAsia="Times New Roman" w:hAnsi="Times New Roman"/>
          <w:b w:val="1"/>
          <w:sz w:val="24"/>
          <w:szCs w:val="24"/>
          <w:rtl w:val="0"/>
        </w:rPr>
        <w:t xml:space="preserve">Promoting Human Rights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workers embrace and promote the fundamental and inalienable rights of all human beings. Social work is based on respect for the inherent worth, dignity of all people and the individual and social /civil rights that follow from this. Social workers often work with people to find an appropriate balance between competing human rights (IFSW).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Advanced Activity: Consider the IFSW definition above, as a future social worker, use the Universal Declaration of Human Rights (UNDHR) to identify at least four human rights for which Maynor is entitled despite his immigration/citizenship status.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01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