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7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COMPETENCE </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2256.377952755906"/>
        <w:gridCol w:w="6769.133858267718"/>
        <w:tblGridChange w:id="0">
          <w:tblGrid>
            <w:gridCol w:w="2256.377952755906"/>
            <w:gridCol w:w="6769.133858267718"/>
          </w:tblGrid>
        </w:tblGridChange>
      </w:tblGrid>
      <w:tr>
        <w:trPr>
          <w:cantSplit w:val="0"/>
          <w:trHeight w:val="438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Competence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it vital for a social worker to practice within the scope of one’s practice. This means that the social worker must inform Maynor of the scope and limits of the role as the social worker within the psychological services program. The social worker must be aware Maynor is unique in his own way and he has a set of experiences and challenges different from anyone else. The social worker will provide Maynor with information about their role as a psychogical social worker, which includes academic and emotional and psychological therapeutic services. The social worker will provide full disclosure about confidentiality and limits to confidentiality. Social workers respect and work in accordance with people’s rights to confidentiality and privacy unless there is risk of harm to the self or to others or other statutory restrictions (IFSW). Social workers inform the people with whom they engage about such limits to confidentiality and privacy (IFSW). </w:t>
            </w:r>
          </w:p>
        </w:tc>
      </w:tr>
    </w:tbl>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COMPETENCE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Social Workers Practice Within Their Areas of Competence and Develop and Enhance Their Professionalism Expertise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continually strive to increase their professional knowledge and skills and to apply them in practice. Social workers should aspire to contribute to the knowledge base of the profession (NASW).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In two or three sentences, outline ways in which you can continue to develop your professional knowledge and skills about DACA post-graduation.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Respect for Confidentiality and Privacy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respect and work in accordance with people’s rights to confidentiality and privacy unless there is risk of harm to the self or to others or other statutory restrictions. Social workers inform the people with whom they engage about such limits to confidentiality and privacy (IFSW).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The provost knows Maynor is interested in going on the campus sponsored Study Abroad experience and is vaguely aware of Maynor’s DACA status. When the Provost meets with you, he is curious to know how Maynor’s DACA case is coming along. In two or three sentences, state how you would explain the concept of confidentiality to the Provost.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