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17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INTEGRITY </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Competency </w:t>
            </w:r>
          </w:p>
        </w:tc>
      </w:tr>
      <w:tr>
        <w:trPr>
          <w:cantSplit w:val="0"/>
          <w:trHeight w:val="52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Integrity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social worker should always conduct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oneself ethically and responsibly. Clients should reliably have confidence in the social worker’s practice skills and believe social workers are working in their best interest. This means Maynor’s social worker must engage Maynor in a polite and gentle manner, to build rapport with Maynor and engage him in the social worker-client relationship. Meeting dates and times must be adhered, if the social worker is unable to meet with Maynor, they must provide a reasonable cancellation or reschedule a new meeting within a reasonable amount of time. Because Maynor’s case involves legal specialization, the social worker must maintain their scope of practice and refer Maynor to legal specialists when necessary.   </w:t>
            </w:r>
          </w:p>
        </w:tc>
      </w:tr>
    </w:tbl>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INTEGRITY - MICRO PRACTICE ACTIVITY</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Core Principle: </w:t>
      </w:r>
      <w:r w:rsidDel="00000000" w:rsidR="00000000" w:rsidRPr="00000000">
        <w:rPr>
          <w:rFonts w:ascii="Times New Roman" w:cs="Times New Roman" w:eastAsia="Times New Roman" w:hAnsi="Times New Roman"/>
          <w:b w:val="1"/>
          <w:sz w:val="24"/>
          <w:szCs w:val="24"/>
          <w:rtl w:val="0"/>
        </w:rPr>
        <w:t xml:space="preserve">Social Workers Behave in a Trustworthy Manner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are continually aware of the profession’s mission, values, ethical principles, and ethical standards and practice in a manner consistent with them. Social workers should take measures to care for themselves professionally and personally. Social workers act honestly and responsibly and promote ethical practices on the part of the organizations with which they are affiliated (NASW).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 activity: Consider the definition above. You have a meeting with Maynor today at 11am. Maynor is excited and wants to see you in person. At the last minute, though, you have been called into an emergency meeting with the campus Provost at 11am. You need to inform Maynor of this new development. State two alternative options to still meet with Maynor on the same day.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Core Principle: </w:t>
      </w:r>
      <w:r w:rsidDel="00000000" w:rsidR="00000000" w:rsidRPr="00000000">
        <w:rPr>
          <w:rFonts w:ascii="Times New Roman" w:cs="Times New Roman" w:eastAsia="Times New Roman" w:hAnsi="Times New Roman"/>
          <w:b w:val="1"/>
          <w:sz w:val="24"/>
          <w:szCs w:val="24"/>
          <w:rtl w:val="0"/>
        </w:rPr>
        <w:t xml:space="preserve">Professional Integrity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must hold the required qualifications and develop and maintain the required skills and competencies to do their job. This includes not abusing their positions of power and relationships of trust with people that they engage with; they recognize the boundaries between personal and professional life and do not abuse their positions for personal material benefit or gain (IFSW).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Activity: Maynor tells you he has been doing construction with a team of Hispanic contractors on the weekend to make some extra money. Your friend is renovating their home and has been looking for an affordable contractor. Maynor asks if you know of anyone in need of construction services. How would you respond to Maynor’s inquiry?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